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170</w:t>
      </w:r>
    </w:p>
    <w:p>
      <w:r>
        <w:t>Bundesgericht (BGE), 2015-01-01, FR</w:t>
      </w:r>
    </w:p>
    <w:p>
      <w:r>
        <w:rPr>
          <w:b/>
        </w:rPr>
        <w:t xml:space="preserve">Quelle: </w:t>
      </w:r>
      <w:r>
        <w:t>https://mcp.opencaselaw.ch/entscheid/bge_141 V 170</w:t>
      </w:r>
    </w:p>
    <w:p>
      <w:r>
        <w:t>FR: ATF 141 V 170</w:t>
      </w:r>
    </w:p>
    <w:p>
      <w:r>
        <w:t>IT: DTF 141 V 170</w:t>
      </w:r>
    </w:p>
    <w:p>
      <w:pPr>
        <w:pStyle w:val="Heading2"/>
      </w:pPr>
      <w:r>
        <w:t>Regeste</w:t>
      </w:r>
    </w:p>
    <w:p>
      <w:r>
        <w:t>Regeste Art. 73 BVG; Art. 560 ZGB; Klageverfahren vor dem kantonalen Berufsvorsorgegericht; Klage durch Erben, die von einer Hinterlassenenleistungen beziehenden Person eingesetzt worden sind; sachliche Zuständigkeit. Der Erbgang ändert nichts an der Zuständigkeit des kantonalen Berufsvorsorgegerichts, über vorsorgespezifische Streitigkeiten zu entscheiden (E. 4).</w:t>
      </w:r>
    </w:p>
    <w:p>
      <w:pPr>
        <w:pStyle w:val="Heading2"/>
      </w:pPr>
      <w:r>
        <w:t>Erwägungen</w:t>
      </w:r>
    </w:p>
    <w:p>
      <w:r>
        <w:rPr>
          <w:b/>
        </w:rPr>
        <w:t>E. 2</w:t>
      </w:r>
    </w:p>
    <w:p>
      <w:r>
        <w:t>A la lumière des griefs soulevés, le litige porte sur la question de la compétence à raison de la matière de la Chambre des assurances sociales de la Cour de justice de la République et canton de Genève pour connaître du litige opposant les parties. BGE 141 V 170 S. 172</w:t>
      </w:r>
    </w:p>
    <w:p>
      <w:r>
        <w:rPr>
          <w:b/>
        </w:rPr>
        <w:t>E. 2.1</w:t>
      </w:r>
    </w:p>
    <w:p>
      <w:r>
        <w:t>Quand bien même les intimés n'étaient pas des ayants droit au sens de l' art. 73 LPP , la juridiction cantonale a considéré que le litige porté devant elle relevait clairement de la prévoyance professionnelle et s'est déclarée compétente pour statuer. Celui-ci avait en effet pour objet la question de savoir si A., en sa qualité de partenaire enregistré de G., pouvait prétendre ou non une indemnité unique de conjoint survivant au sens de l'art. 48 des statuts de la CAP, singulièrement sur la question de savoir si cette prestation avait pris naissance au moment où A. était décédé.</w:t>
      </w:r>
    </w:p>
    <w:p>
      <w:r>
        <w:rPr>
          <w:b/>
        </w:rPr>
        <w:t>E. 2.2</w:t>
      </w:r>
    </w:p>
    <w:p>
      <w:r>
        <w:t>Invoquant une violation de l' art. 73 al. 1 LPP , la recourante fait valoir que les intimés ne sont pas des ayants droit au sens de cette disposition, puisqu'ils sont seulement les héritiers de feu A. Aussi bien la loi que les dispositions réglementaires applicables ne permettent pas de servir des prestations à d'autres personnes que les bénéficiaires énumérés par la loi, soit le conjoint survivant, le conjoint survivant divorcé, le partenaire enregistré et les orphelins ( art. 19, 19a et 20 LPP ). Or avec le décès de A., il n'existait plus d'ayant droit au sens de la LPP et des dispositions réglementaires. Dans l'hypothèse où il était néanmoins admis que le droit à une indemnité unique existait déjà au moment du décès de A. - ce qui était entièrement contesté -, les héritiers n'avaient pas hérité pour autant de la qualité d'ayants droit; tout au plus disposaient-ils d'une créance relevant du droit successoral. Les conclusions de l'hoirie devaient par conséquent tendre à ce qu'il fût constaté que le capital-décès entrât dans la masse successorale du défunt, conclusions qui ne pouvaient toutefois être prises devant la juridiction compétente en matière de prévoyance professionnelle au sens de l' art. 73 LPP , mais devaient être soumises à la juridiction civile ordinaire.</w:t>
      </w:r>
    </w:p>
    <w:p>
      <w:r>
        <w:rPr>
          <w:b/>
        </w:rPr>
        <w:t>E. 3</w:t>
      </w:r>
    </w:p>
    <w:p>
      <w:r>
        <w:t>Aux termes de l'art. 73 al. 1, première phrase, LPP, chaque canton désigne un tribunal qui connaît, en dernière instance cantonale, des contestations opposant institutions de prévoyance, employeurs et ayants droit. Selon la jurisprudence,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 art. 73 LPP ne sont pas ouvertes lorsque la contestation a un fondement juridique autre que le droit de la prévoyance professionnelle, BGE 141 V 170 S. 173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128 V 254 consid. 2a p. 259 et les références; MEYER/UTTINGER, in Commentaire LPP et LFLP, 2010, n° 23 ad art. 73 LPP ).</w:t>
      </w:r>
    </w:p>
    <w:p>
      <w:r>
        <w:rPr>
          <w:b/>
        </w:rPr>
        <w:t>E. 4.1</w:t>
      </w:r>
    </w:p>
    <w:p>
      <w:r>
        <w:t>Dans leur demande déposée devant la juridiction cantonale, les intimés ont conclu à ce que la recourante soit condamnée à leur verser un montant de 57'825 fr. avec intérêts à 5 % l'an dès le 13 juillet 2012. De leur point de vue, A. avait en effet droit à une indemnité unique égale à trois pensions annuelles de conjoint survivant. Ce droit étant né au moment du décès de G., soit le 12 juillet 2012, la prestation en cause leur revenait de plein droit, en leur qualité d'héritiers, à la suite du décès le 29 juillet 2012 de A.</w:t>
      </w:r>
    </w:p>
    <w:p>
      <w:r>
        <w:rPr>
          <w:b/>
        </w:rPr>
        <w:t>E. 4.2</w:t>
      </w:r>
    </w:p>
    <w:p>
      <w:r>
        <w:t>Au regard de la demande en justice et des faits invoqués à son appui, le litige a manifestement pour objet une question qui concerne spécifiquement le droit de la prévoyance professionnelle. La prestation en cause relève clairement de cette branche d'assurance: les intimés réclament à la recourante, sur la base des art. 19 al. 2 LPP (en corrélation avec l' art. 19a LPP ) et 48 des statuts de la CAP (dans leur teneur en vigueur depuis le 1 er janvier 2008; sur la question du règlement applicable dans un cas particulier, voir p. ex. l'arrêt 9C_954/2011 du 22 mars 2012 consid. 2.2, in SVR 2012 BVG n° 36 p. 138), le versement d'une indemnité à titre de prestation pour survivants en faveur du partenaire enregistré. Qui plus est, la question juridique qu'il convient de résoudre en l'espèce, soit le point de savoir si le droit à l'indemnité avait déjà pris naissance au moment où A. est décédé, relève avant tout de l'application de principes propres à la prévoyance professionnelle. Car c'est en fonction de la réponse donnée à cette question qu'il sera alors possible de savoir si la prestation litigieuse a été acquise du vivant de A., si elle est tombée ou BGE 141 V 170 S. 174 non dans la masse successorale et, partant, si elle revient de plein droit aux intimés en leur qualité d'héritiers institués (voir ATF 113 V 287 consid. 4b p. 290; voir également arrêt du Tribunal fédéral des assurances B 20/98 du 14 août 1998 consid. 4a). Le fait que le tribunal compétent en matière de prévoyance professionnelle doit, le cas échéant, se pencher à titre préjudiciel sur d'autres aspects juridiques de nature successorale, telle la validité des dispositions testamentaires prises par A., ne change rien à la qualification de l'objet du litige comme ressortissant au droit de la prévoyance professionnelle.</w:t>
      </w:r>
    </w:p>
    <w:p>
      <w:r>
        <w:rPr>
          <w:b/>
        </w:rPr>
        <w:t>E. 4.3</w:t>
      </w:r>
    </w:p>
    <w:p>
      <w:r>
        <w:t>Il n'est pas contesté ni contestable que les intimés n'agissent pas en qualité d'ayants droit au sens de l' art. 73 LPP , mais en qualité d'héritiers institués de A. Aux termes de l' art. 560 CC ,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 ATF 112 II 300 consid. 4b p. 305; voir également IVO SCHWANDER, in Basler Kommentar, Zivilgesetzbuch, vol. II, 2 e éd. 2003, n° 8 ad art. 560 CC ; TUOR/PICENONI, Berner Kommentar, 2 e éd. 1964, n° 4 ad art. 560 CC ; ESCHER/ESCHER, Zürcher Kommentar, 3 e éd. 1959, vol. III. 1, n° 5b ad introduction). Ce faisant,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w:t>
      </w:r>
    </w:p>
    <w:p>
      <w:r>
        <w:rPr>
          <w:b/>
        </w:rPr>
        <w:t>E. 4.4</w:t>
      </w:r>
    </w:p>
    <w:p>
      <w:r>
        <w:t>Sur le vu de ce qui précède, la juridiction cantonale n'a pas violé le droit fédéral en admettant sa compétence pour connaître du litige porté devant elle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